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A8B" w:rsidRPr="008A19A3" w:rsidRDefault="00555013" w:rsidP="008A19A3">
      <w:pPr>
        <w:spacing w:after="0" w:line="259" w:lineRule="auto"/>
        <w:ind w:left="208" w:right="0" w:firstLine="0"/>
        <w:jc w:val="center"/>
        <w:rPr>
          <w:sz w:val="28"/>
          <w:szCs w:val="28"/>
        </w:rPr>
      </w:pPr>
      <w:r w:rsidRPr="008A19A3">
        <w:rPr>
          <w:b/>
          <w:color w:val="FF6400"/>
          <w:sz w:val="28"/>
          <w:szCs w:val="28"/>
        </w:rPr>
        <w:t xml:space="preserve">Checklist for </w:t>
      </w:r>
      <w:proofErr w:type="spellStart"/>
      <w:r w:rsidRPr="008A19A3">
        <w:rPr>
          <w:b/>
          <w:color w:val="FF6400"/>
          <w:sz w:val="28"/>
          <w:szCs w:val="28"/>
        </w:rPr>
        <w:t>host</w:t>
      </w:r>
      <w:proofErr w:type="spellEnd"/>
      <w:r w:rsidRPr="008A19A3">
        <w:rPr>
          <w:b/>
          <w:color w:val="FF6400"/>
          <w:sz w:val="28"/>
          <w:szCs w:val="28"/>
        </w:rPr>
        <w:t xml:space="preserve"> </w:t>
      </w:r>
      <w:r w:rsidR="0038155D">
        <w:rPr>
          <w:b/>
          <w:color w:val="FF6400"/>
          <w:sz w:val="28"/>
          <w:szCs w:val="28"/>
        </w:rPr>
        <w:t>companies</w:t>
      </w:r>
    </w:p>
    <w:p w:rsidR="00DA2A8B" w:rsidRPr="008A19A3" w:rsidRDefault="00555013">
      <w:pPr>
        <w:spacing w:after="0" w:line="259" w:lineRule="auto"/>
        <w:ind w:left="190" w:right="0" w:firstLine="0"/>
        <w:rPr>
          <w:lang w:val="en-GB"/>
        </w:rPr>
      </w:pPr>
      <w:r w:rsidRPr="008A19A3">
        <w:rPr>
          <w:lang w:val="en-GB"/>
        </w:rPr>
        <w:t xml:space="preserve"> </w:t>
      </w:r>
    </w:p>
    <w:p w:rsidR="008A19A3" w:rsidRPr="008A19A3" w:rsidRDefault="00555013" w:rsidP="008A19A3">
      <w:pPr>
        <w:spacing w:after="0" w:line="276" w:lineRule="auto"/>
        <w:ind w:left="0" w:firstLine="0"/>
        <w:jc w:val="center"/>
        <w:rPr>
          <w:rFonts w:ascii="Arial" w:eastAsia="Calibri" w:hAnsi="Arial" w:cs="Arial"/>
          <w:i/>
          <w:color w:val="0000FF"/>
          <w:sz w:val="16"/>
          <w:szCs w:val="16"/>
          <w:u w:val="single"/>
          <w:lang w:val="en-GB" w:eastAsia="en-US"/>
        </w:rPr>
      </w:pPr>
      <w:r w:rsidRPr="008A19A3">
        <w:rPr>
          <w:lang w:val="en-GB"/>
        </w:rPr>
        <w:t xml:space="preserve"> </w:t>
      </w:r>
      <w:r w:rsidR="008A19A3" w:rsidRPr="00F74F02">
        <w:rPr>
          <w:rFonts w:ascii="Arial" w:eastAsia="Calibri" w:hAnsi="Arial" w:cs="Arial"/>
          <w:i/>
          <w:color w:val="auto"/>
          <w:sz w:val="16"/>
          <w:szCs w:val="16"/>
          <w:lang w:val="en-GB" w:eastAsia="en-US"/>
        </w:rPr>
        <w:t xml:space="preserve">This document is an extract of several documents provided by the European Union to promote, implement and enhance learning mobility for apprentices. More detailed documents supporting companies hosting trainees can be found at the following website: </w:t>
      </w:r>
      <w:hyperlink r:id="rId7" w:history="1">
        <w:r w:rsidR="008A19A3" w:rsidRPr="008A19A3">
          <w:rPr>
            <w:rFonts w:ascii="Arial" w:eastAsia="Calibri" w:hAnsi="Arial" w:cs="Arial"/>
            <w:i/>
            <w:color w:val="0000FF"/>
            <w:sz w:val="16"/>
            <w:szCs w:val="16"/>
            <w:u w:val="single"/>
            <w:lang w:val="en-GB" w:eastAsia="en-US"/>
          </w:rPr>
          <w:t>http://www.euroapprenticeship.eu/en/home.html</w:t>
        </w:r>
      </w:hyperlink>
    </w:p>
    <w:p w:rsidR="008A19A3" w:rsidRPr="008A19A3" w:rsidRDefault="008A19A3" w:rsidP="008A19A3">
      <w:pPr>
        <w:spacing w:after="0" w:line="259" w:lineRule="auto"/>
        <w:ind w:left="53" w:right="0" w:firstLine="0"/>
        <w:jc w:val="center"/>
        <w:rPr>
          <w:rFonts w:ascii="Arial" w:eastAsia="Calibri" w:hAnsi="Arial" w:cs="Arial"/>
          <w:i/>
          <w:color w:val="auto"/>
          <w:sz w:val="16"/>
          <w:szCs w:val="16"/>
          <w:lang w:val="en-GB" w:eastAsia="en-US"/>
        </w:rPr>
      </w:pPr>
      <w:r w:rsidRPr="008A19A3">
        <w:rPr>
          <w:rFonts w:ascii="Arial" w:eastAsia="Calibri" w:hAnsi="Arial" w:cs="Arial"/>
          <w:i/>
          <w:color w:val="auto"/>
          <w:sz w:val="16"/>
          <w:szCs w:val="16"/>
          <w:lang w:val="en-GB" w:eastAsia="en-US"/>
        </w:rPr>
        <w:t>This website was financed by the European programme Erasmus.</w:t>
      </w:r>
    </w:p>
    <w:p w:rsidR="00DA2A8B" w:rsidRPr="008A19A3" w:rsidRDefault="00DA2A8B">
      <w:pPr>
        <w:spacing w:after="0" w:line="259" w:lineRule="auto"/>
        <w:ind w:left="190" w:right="0" w:firstLine="0"/>
        <w:rPr>
          <w:lang w:val="en-GB"/>
        </w:rPr>
      </w:pPr>
    </w:p>
    <w:p w:rsidR="00DA2A8B" w:rsidRPr="008A19A3" w:rsidRDefault="00555013">
      <w:pPr>
        <w:ind w:left="193" w:firstLine="0"/>
        <w:rPr>
          <w:lang w:val="en-GB"/>
        </w:rPr>
      </w:pPr>
      <w:r w:rsidRPr="008A19A3">
        <w:rPr>
          <w:lang w:val="en-GB"/>
        </w:rPr>
        <w:t xml:space="preserve">The following lists detail the </w:t>
      </w:r>
      <w:r w:rsidRPr="008A19A3">
        <w:rPr>
          <w:b/>
          <w:lang w:val="en-GB"/>
        </w:rPr>
        <w:t xml:space="preserve">main tasks </w:t>
      </w:r>
      <w:r w:rsidRPr="008A19A3">
        <w:rPr>
          <w:lang w:val="en-GB"/>
        </w:rPr>
        <w:t xml:space="preserve">that you as a host organisation, i.e. as the training company or vocational college, have to fulfil to </w:t>
      </w:r>
      <w:r w:rsidRPr="008A19A3">
        <w:rPr>
          <w:b/>
          <w:lang w:val="en-GB"/>
        </w:rPr>
        <w:t>implement</w:t>
      </w:r>
      <w:r w:rsidRPr="008A19A3">
        <w:rPr>
          <w:lang w:val="en-GB"/>
        </w:rPr>
        <w:t xml:space="preserve"> a work placement abroad. Should you cooperate with an exchange organisation, it will take over some of the mentioned tasks. </w:t>
      </w:r>
      <w:bookmarkStart w:id="0" w:name="_GoBack"/>
      <w:bookmarkEnd w:id="0"/>
      <w:r w:rsidRPr="008A19A3">
        <w:rPr>
          <w:lang w:val="en-GB"/>
        </w:rPr>
        <w:t xml:space="preserve">Nevertheless, this list serves to give you an </w:t>
      </w:r>
      <w:r w:rsidRPr="008A19A3">
        <w:rPr>
          <w:b/>
          <w:lang w:val="en-GB"/>
        </w:rPr>
        <w:t xml:space="preserve">overview </w:t>
      </w:r>
      <w:r w:rsidRPr="008A19A3">
        <w:rPr>
          <w:lang w:val="en-GB"/>
        </w:rPr>
        <w:t>of the steps required when implementing a work placement abroad.</w:t>
      </w:r>
      <w:r w:rsidRPr="008A19A3">
        <w:rPr>
          <w:sz w:val="24"/>
          <w:lang w:val="en-GB"/>
        </w:rPr>
        <w:t xml:space="preserve"> </w:t>
      </w:r>
    </w:p>
    <w:p w:rsidR="00DA2A8B" w:rsidRPr="008A19A3" w:rsidRDefault="00555013">
      <w:pPr>
        <w:spacing w:after="0" w:line="259" w:lineRule="auto"/>
        <w:ind w:left="190" w:right="0" w:firstLine="0"/>
        <w:rPr>
          <w:lang w:val="en-GB"/>
        </w:rPr>
      </w:pPr>
      <w:r w:rsidRPr="008A19A3">
        <w:rPr>
          <w:lang w:val="en-GB"/>
        </w:rPr>
        <w:t xml:space="preserve"> </w:t>
      </w:r>
    </w:p>
    <w:p w:rsidR="00DA2A8B" w:rsidRDefault="00555013">
      <w:pPr>
        <w:spacing w:after="0" w:line="259" w:lineRule="auto"/>
        <w:ind w:left="190" w:right="0" w:firstLine="0"/>
      </w:pPr>
      <w:proofErr w:type="spellStart"/>
      <w:r>
        <w:rPr>
          <w:b/>
          <w:i/>
          <w:color w:val="FF6400"/>
        </w:rPr>
        <w:t>Please</w:t>
      </w:r>
      <w:proofErr w:type="spellEnd"/>
      <w:r>
        <w:rPr>
          <w:b/>
          <w:i/>
          <w:color w:val="FF6400"/>
        </w:rPr>
        <w:t xml:space="preserve"> note the </w:t>
      </w:r>
      <w:proofErr w:type="spellStart"/>
      <w:r>
        <w:rPr>
          <w:b/>
          <w:i/>
          <w:color w:val="FF6400"/>
        </w:rPr>
        <w:t>following</w:t>
      </w:r>
      <w:proofErr w:type="spellEnd"/>
      <w:r>
        <w:rPr>
          <w:b/>
          <w:i/>
          <w:color w:val="FF6400"/>
        </w:rPr>
        <w:t xml:space="preserve">: </w:t>
      </w:r>
    </w:p>
    <w:p w:rsidR="00DA2A8B" w:rsidRDefault="00555013">
      <w:pPr>
        <w:spacing w:after="0" w:line="259" w:lineRule="auto"/>
        <w:ind w:left="190" w:right="0" w:firstLine="0"/>
      </w:pPr>
      <w:r>
        <w:t xml:space="preserve"> </w:t>
      </w:r>
    </w:p>
    <w:p w:rsidR="00DA2A8B" w:rsidRPr="008A19A3" w:rsidRDefault="00555013">
      <w:pPr>
        <w:numPr>
          <w:ilvl w:val="0"/>
          <w:numId w:val="1"/>
        </w:numPr>
        <w:ind w:hanging="360"/>
        <w:rPr>
          <w:lang w:val="en-GB"/>
        </w:rPr>
      </w:pPr>
      <w:r w:rsidRPr="008A19A3">
        <w:rPr>
          <w:lang w:val="en-GB"/>
        </w:rPr>
        <w:t xml:space="preserve">The list is </w:t>
      </w:r>
      <w:r w:rsidRPr="008A19A3">
        <w:rPr>
          <w:b/>
          <w:lang w:val="en-GB"/>
        </w:rPr>
        <w:t>not</w:t>
      </w:r>
      <w:r w:rsidRPr="008A19A3">
        <w:rPr>
          <w:lang w:val="en-GB"/>
        </w:rPr>
        <w:t xml:space="preserve"> meant to be </w:t>
      </w:r>
      <w:r w:rsidRPr="008A19A3">
        <w:rPr>
          <w:b/>
          <w:lang w:val="en-GB"/>
        </w:rPr>
        <w:t>chronological</w:t>
      </w:r>
      <w:r w:rsidRPr="008A19A3">
        <w:rPr>
          <w:lang w:val="en-GB"/>
        </w:rPr>
        <w:t xml:space="preserve">. Although it follows a certain logic, two or even several actions can be undertaken in parallel. </w:t>
      </w:r>
    </w:p>
    <w:p w:rsidR="00DA2A8B" w:rsidRPr="008A19A3" w:rsidRDefault="00555013">
      <w:pPr>
        <w:numPr>
          <w:ilvl w:val="0"/>
          <w:numId w:val="1"/>
        </w:numPr>
        <w:ind w:hanging="360"/>
        <w:rPr>
          <w:lang w:val="en-GB"/>
        </w:rPr>
      </w:pPr>
      <w:r w:rsidRPr="008A19A3">
        <w:rPr>
          <w:lang w:val="en-GB"/>
        </w:rPr>
        <w:t xml:space="preserve">It is imperative to adjust this list to the </w:t>
      </w:r>
      <w:r w:rsidRPr="008A19A3">
        <w:rPr>
          <w:b/>
          <w:lang w:val="en-GB"/>
        </w:rPr>
        <w:t>concrete mobility situation</w:t>
      </w:r>
      <w:r w:rsidRPr="008A19A3">
        <w:rPr>
          <w:lang w:val="en-GB"/>
        </w:rPr>
        <w:t xml:space="preserve">! Maybe some of the steps will not be necessary but you will have to take other measures instead.  </w:t>
      </w:r>
    </w:p>
    <w:p w:rsidR="00DA2A8B" w:rsidRPr="008A19A3" w:rsidRDefault="00555013">
      <w:pPr>
        <w:numPr>
          <w:ilvl w:val="0"/>
          <w:numId w:val="1"/>
        </w:numPr>
        <w:ind w:hanging="360"/>
        <w:rPr>
          <w:lang w:val="en-GB"/>
        </w:rPr>
      </w:pPr>
      <w:r w:rsidRPr="008A19A3">
        <w:rPr>
          <w:b/>
          <w:lang w:val="en-GB"/>
        </w:rPr>
        <w:t xml:space="preserve">Close cooperation </w:t>
      </w:r>
      <w:r w:rsidRPr="008A19A3">
        <w:rPr>
          <w:lang w:val="en-GB"/>
        </w:rPr>
        <w:t xml:space="preserve">and </w:t>
      </w:r>
      <w:r w:rsidRPr="008A19A3">
        <w:rPr>
          <w:b/>
          <w:lang w:val="en-GB"/>
        </w:rPr>
        <w:t xml:space="preserve">detailed coordination </w:t>
      </w:r>
      <w:r w:rsidRPr="008A19A3">
        <w:rPr>
          <w:lang w:val="en-GB"/>
        </w:rPr>
        <w:t xml:space="preserve">between you, the individual mobility participant and the sending institution are vital during the implementation stage. </w:t>
      </w:r>
    </w:p>
    <w:p w:rsidR="00DA2A8B" w:rsidRPr="008A19A3" w:rsidRDefault="00555013">
      <w:pPr>
        <w:spacing w:after="0" w:line="259" w:lineRule="auto"/>
        <w:ind w:left="190" w:right="0" w:firstLine="0"/>
        <w:rPr>
          <w:lang w:val="en-GB"/>
        </w:rPr>
      </w:pPr>
      <w:r w:rsidRPr="008A19A3">
        <w:rPr>
          <w:lang w:val="en-GB"/>
        </w:rPr>
        <w:t xml:space="preserve"> </w:t>
      </w:r>
    </w:p>
    <w:p w:rsidR="00DA2A8B" w:rsidRPr="008A19A3" w:rsidRDefault="00555013">
      <w:pPr>
        <w:spacing w:after="0" w:line="259" w:lineRule="auto"/>
        <w:ind w:left="190" w:right="0" w:firstLine="0"/>
        <w:rPr>
          <w:lang w:val="en-GB"/>
        </w:rPr>
      </w:pPr>
      <w:r w:rsidRPr="008A19A3">
        <w:rPr>
          <w:lang w:val="en-GB"/>
        </w:rPr>
        <w:t xml:space="preserve"> </w:t>
      </w:r>
    </w:p>
    <w:tbl>
      <w:tblPr>
        <w:tblStyle w:val="TableGrid"/>
        <w:tblW w:w="9971" w:type="dxa"/>
        <w:tblInd w:w="89" w:type="dxa"/>
        <w:tblCellMar>
          <w:top w:w="43" w:type="dxa"/>
          <w:left w:w="108" w:type="dxa"/>
        </w:tblCellMar>
        <w:tblLook w:val="04A0" w:firstRow="1" w:lastRow="0" w:firstColumn="1" w:lastColumn="0" w:noHBand="0" w:noVBand="1"/>
      </w:tblPr>
      <w:tblGrid>
        <w:gridCol w:w="763"/>
        <w:gridCol w:w="4699"/>
        <w:gridCol w:w="1181"/>
        <w:gridCol w:w="960"/>
        <w:gridCol w:w="2368"/>
      </w:tblGrid>
      <w:tr w:rsidR="00DA2A8B" w:rsidTr="008A19A3">
        <w:trPr>
          <w:trHeight w:val="331"/>
        </w:trPr>
        <w:tc>
          <w:tcPr>
            <w:tcW w:w="763" w:type="dxa"/>
            <w:tcBorders>
              <w:top w:val="single" w:sz="4" w:space="0" w:color="000000"/>
              <w:left w:val="single" w:sz="4" w:space="0" w:color="000000"/>
              <w:bottom w:val="single" w:sz="4" w:space="0" w:color="000000"/>
              <w:right w:val="single" w:sz="4" w:space="0" w:color="000000"/>
            </w:tcBorders>
            <w:shd w:val="clear" w:color="auto" w:fill="FFCC9A"/>
          </w:tcPr>
          <w:p w:rsidR="00DA2A8B" w:rsidRDefault="00555013">
            <w:pPr>
              <w:spacing w:after="0" w:line="259" w:lineRule="auto"/>
              <w:ind w:left="0" w:right="128" w:firstLine="0"/>
              <w:jc w:val="right"/>
            </w:pPr>
            <w:r>
              <w:rPr>
                <w:b/>
              </w:rPr>
              <w:t>No.</w:t>
            </w:r>
            <w:r>
              <w:t xml:space="preserve"> </w:t>
            </w:r>
          </w:p>
        </w:tc>
        <w:tc>
          <w:tcPr>
            <w:tcW w:w="4699" w:type="dxa"/>
            <w:tcBorders>
              <w:top w:val="single" w:sz="4" w:space="0" w:color="000000"/>
              <w:left w:val="single" w:sz="4" w:space="0" w:color="000000"/>
              <w:bottom w:val="single" w:sz="4" w:space="0" w:color="000000"/>
              <w:right w:val="single" w:sz="4" w:space="0" w:color="000000"/>
            </w:tcBorders>
            <w:shd w:val="clear" w:color="auto" w:fill="FFCC9A"/>
          </w:tcPr>
          <w:p w:rsidR="00DA2A8B" w:rsidRDefault="00555013">
            <w:pPr>
              <w:spacing w:after="0" w:line="259" w:lineRule="auto"/>
              <w:ind w:left="0" w:right="0" w:firstLine="0"/>
            </w:pPr>
            <w:r>
              <w:rPr>
                <w:b/>
              </w:rPr>
              <w:t>To do</w:t>
            </w:r>
            <w:r>
              <w:t xml:space="preserve"> </w:t>
            </w:r>
          </w:p>
        </w:tc>
        <w:tc>
          <w:tcPr>
            <w:tcW w:w="1181" w:type="dxa"/>
            <w:tcBorders>
              <w:top w:val="single" w:sz="4" w:space="0" w:color="000000"/>
              <w:left w:val="single" w:sz="4" w:space="0" w:color="000000"/>
              <w:bottom w:val="single" w:sz="4" w:space="0" w:color="000000"/>
              <w:right w:val="single" w:sz="4" w:space="0" w:color="000000"/>
            </w:tcBorders>
            <w:shd w:val="clear" w:color="auto" w:fill="FFCC9A"/>
          </w:tcPr>
          <w:p w:rsidR="00DA2A8B" w:rsidRDefault="00555013" w:rsidP="008A19A3">
            <w:pPr>
              <w:spacing w:after="0" w:line="259" w:lineRule="auto"/>
              <w:ind w:left="0" w:right="0" w:firstLine="0"/>
            </w:pPr>
            <w:r>
              <w:rPr>
                <w:b/>
              </w:rPr>
              <w:t xml:space="preserve">Deadline </w:t>
            </w:r>
          </w:p>
        </w:tc>
        <w:tc>
          <w:tcPr>
            <w:tcW w:w="960" w:type="dxa"/>
            <w:tcBorders>
              <w:top w:val="single" w:sz="4" w:space="0" w:color="000000"/>
              <w:left w:val="single" w:sz="4" w:space="0" w:color="000000"/>
              <w:bottom w:val="single" w:sz="4" w:space="0" w:color="000000"/>
              <w:right w:val="single" w:sz="4" w:space="0" w:color="000000"/>
            </w:tcBorders>
            <w:shd w:val="clear" w:color="auto" w:fill="FFCC9A"/>
          </w:tcPr>
          <w:p w:rsidR="00DA2A8B" w:rsidRDefault="008A19A3">
            <w:pPr>
              <w:spacing w:after="0" w:line="259" w:lineRule="auto"/>
              <w:ind w:left="0" w:right="106" w:firstLine="0"/>
              <w:jc w:val="center"/>
            </w:pPr>
            <w:r>
              <w:rPr>
                <w:rFonts w:ascii="Wingdings 2" w:eastAsia="Wingdings 2" w:hAnsi="Wingdings 2" w:cs="Wingdings 2"/>
              </w:rPr>
              <w:sym w:font="Wingdings" w:char="F0FC"/>
            </w:r>
          </w:p>
        </w:tc>
        <w:tc>
          <w:tcPr>
            <w:tcW w:w="2368" w:type="dxa"/>
            <w:tcBorders>
              <w:top w:val="single" w:sz="4" w:space="0" w:color="000000"/>
              <w:left w:val="single" w:sz="4" w:space="0" w:color="000000"/>
              <w:bottom w:val="single" w:sz="4" w:space="0" w:color="000000"/>
              <w:right w:val="single" w:sz="4" w:space="0" w:color="000000"/>
            </w:tcBorders>
            <w:shd w:val="clear" w:color="auto" w:fill="FFCC9A"/>
          </w:tcPr>
          <w:p w:rsidR="00DA2A8B" w:rsidRDefault="00555013">
            <w:pPr>
              <w:spacing w:after="0" w:line="259" w:lineRule="auto"/>
              <w:ind w:left="0" w:right="0" w:firstLine="0"/>
            </w:pPr>
            <w:r>
              <w:rPr>
                <w:b/>
              </w:rPr>
              <w:t xml:space="preserve">Notes </w:t>
            </w:r>
            <w:r>
              <w:t xml:space="preserve"> </w:t>
            </w:r>
          </w:p>
        </w:tc>
      </w:tr>
      <w:tr w:rsidR="00DA2A8B" w:rsidRPr="0038155D" w:rsidTr="008A19A3">
        <w:trPr>
          <w:trHeight w:val="577"/>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1.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Meeting the mobility participant at the train station/airport (optional)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2.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Transport to the place of accommodation (optional)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3.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Show/describe the way to the company/college (optional)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334"/>
        </w:trPr>
        <w:tc>
          <w:tcPr>
            <w:tcW w:w="763" w:type="dxa"/>
            <w:tcBorders>
              <w:top w:val="single" w:sz="4" w:space="0" w:color="000000"/>
              <w:left w:val="single" w:sz="4" w:space="0" w:color="000000"/>
              <w:bottom w:val="single" w:sz="4" w:space="0" w:color="000000"/>
              <w:right w:val="single" w:sz="4" w:space="0" w:color="000000"/>
            </w:tcBorders>
          </w:tcPr>
          <w:p w:rsidR="00DA2A8B" w:rsidRDefault="00555013">
            <w:pPr>
              <w:spacing w:after="0" w:line="259" w:lineRule="auto"/>
              <w:ind w:left="238" w:right="0" w:firstLine="0"/>
            </w:pPr>
            <w:r>
              <w:t xml:space="preserve">4.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First day: introduction to company/college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7"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28"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5.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61" w:firstLine="0"/>
              <w:rPr>
                <w:lang w:val="en-GB"/>
              </w:rPr>
            </w:pPr>
            <w:r w:rsidRPr="008A19A3">
              <w:rPr>
                <w:lang w:val="en-GB"/>
              </w:rPr>
              <w:t xml:space="preserve">First day: introduction to staff/class teachers and fellow students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6.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First day: introduction to contact person(s) during the stay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1062"/>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7.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First day: renewed discussion of entire programme (on the basis of the agreement concluded beforehand): learning content, evaluation, certification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1063"/>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8.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First day: presentation of company/college rules (starting times, breaks, end of working/college day, clothing regulations, etc.)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238" w:right="0" w:firstLine="0"/>
            </w:pPr>
            <w:r>
              <w:t xml:space="preserve">9.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First day: information about recreational facilities (optional)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0" w:right="153" w:firstLine="0"/>
              <w:jc w:val="right"/>
            </w:pPr>
            <w:r>
              <w:t xml:space="preserve">10.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Support in registration with competent authority (optional)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818"/>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0" w:right="153" w:firstLine="0"/>
              <w:jc w:val="right"/>
            </w:pPr>
            <w:r>
              <w:lastRenderedPageBreak/>
              <w:t xml:space="preserve">11.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Responsibility for teaching the learning content (on the basis of the agreement concluded beforehand)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7"/>
        </w:trPr>
        <w:tc>
          <w:tcPr>
            <w:tcW w:w="763" w:type="dxa"/>
            <w:tcBorders>
              <w:top w:val="single" w:sz="4" w:space="0" w:color="000000"/>
              <w:left w:val="single" w:sz="4" w:space="0" w:color="000000"/>
              <w:bottom w:val="single" w:sz="4" w:space="0" w:color="000000"/>
              <w:right w:val="single" w:sz="4" w:space="0" w:color="000000"/>
            </w:tcBorders>
          </w:tcPr>
          <w:p w:rsidR="00DA2A8B" w:rsidRDefault="00555013">
            <w:pPr>
              <w:spacing w:after="0" w:line="259" w:lineRule="auto"/>
              <w:ind w:left="0" w:right="153" w:firstLine="0"/>
              <w:jc w:val="right"/>
            </w:pPr>
            <w:r>
              <w:t xml:space="preserve">12.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Regular feedback talks with participant (optional)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tcPr>
          <w:p w:rsidR="00DA2A8B" w:rsidRDefault="00555013">
            <w:pPr>
              <w:spacing w:after="0" w:line="259" w:lineRule="auto"/>
              <w:ind w:left="0" w:right="153" w:firstLine="0"/>
              <w:jc w:val="right"/>
            </w:pPr>
            <w:r>
              <w:t xml:space="preserve">13.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Regular feedback to sending institution (optional)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2"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3"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7"/>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8A19A3">
            <w:pPr>
              <w:spacing w:after="0" w:line="259" w:lineRule="auto"/>
              <w:ind w:left="0" w:right="153" w:firstLine="0"/>
              <w:jc w:val="right"/>
            </w:pPr>
            <w:r>
              <w:t>1</w:t>
            </w:r>
            <w:r w:rsidR="00555013">
              <w:t xml:space="preserve">4.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Maintain contact with your exchange organisation (optional)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818"/>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0" w:right="153" w:firstLine="0"/>
              <w:jc w:val="right"/>
            </w:pPr>
            <w:r>
              <w:t xml:space="preserve">15.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Assessment of learning outcomes (on the basis of the agreement concluded beforehand)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820"/>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0" w:right="153" w:firstLine="0"/>
              <w:jc w:val="right"/>
            </w:pPr>
            <w:r>
              <w:t xml:space="preserve">16.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Certification of attained learning outcomes (on the basis of the agreement concluded beforehand)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0" w:right="153" w:firstLine="0"/>
              <w:jc w:val="right"/>
            </w:pPr>
            <w:r>
              <w:t xml:space="preserve">17.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Feedback to sending institution / feedback talk about learning progress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334"/>
        </w:trPr>
        <w:tc>
          <w:tcPr>
            <w:tcW w:w="763" w:type="dxa"/>
            <w:tcBorders>
              <w:top w:val="single" w:sz="4" w:space="0" w:color="000000"/>
              <w:left w:val="single" w:sz="4" w:space="0" w:color="000000"/>
              <w:bottom w:val="single" w:sz="4" w:space="0" w:color="000000"/>
              <w:right w:val="single" w:sz="4" w:space="0" w:color="000000"/>
            </w:tcBorders>
          </w:tcPr>
          <w:p w:rsidR="00DA2A8B" w:rsidRDefault="00555013">
            <w:pPr>
              <w:spacing w:after="0" w:line="259" w:lineRule="auto"/>
              <w:ind w:left="0" w:right="154" w:firstLine="0"/>
              <w:jc w:val="right"/>
            </w:pPr>
            <w:r>
              <w:t xml:space="preserve">18.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Signing of the </w:t>
            </w:r>
            <w:proofErr w:type="spellStart"/>
            <w:r w:rsidRPr="008A19A3">
              <w:rPr>
                <w:lang w:val="en-GB"/>
              </w:rPr>
              <w:t>Europass</w:t>
            </w:r>
            <w:proofErr w:type="spellEnd"/>
            <w:r w:rsidRPr="008A19A3">
              <w:rPr>
                <w:lang w:val="en-GB"/>
              </w:rPr>
              <w:t xml:space="preserve"> Mobility document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5"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0"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 w:right="0" w:firstLine="0"/>
              <w:rPr>
                <w:lang w:val="en-GB"/>
              </w:rPr>
            </w:pPr>
            <w:r w:rsidRPr="008A19A3">
              <w:rPr>
                <w:lang w:val="en-GB"/>
              </w:rPr>
              <w:t xml:space="preserve"> </w:t>
            </w:r>
          </w:p>
        </w:tc>
      </w:tr>
      <w:tr w:rsidR="00DA2A8B" w:rsidRPr="0038155D" w:rsidTr="008A19A3">
        <w:trPr>
          <w:trHeight w:val="818"/>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0" w:right="153" w:firstLine="0"/>
              <w:jc w:val="right"/>
            </w:pPr>
            <w:r>
              <w:t xml:space="preserve">19.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19" w:firstLine="0"/>
              <w:rPr>
                <w:lang w:val="en-GB"/>
              </w:rPr>
            </w:pPr>
            <w:r w:rsidRPr="008A19A3">
              <w:rPr>
                <w:lang w:val="en-GB"/>
              </w:rPr>
              <w:t xml:space="preserve">Issuing of a certificate concerning completion of work placement/college attendance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576"/>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Default="00555013">
            <w:pPr>
              <w:spacing w:after="0" w:line="259" w:lineRule="auto"/>
              <w:ind w:left="0" w:right="153" w:firstLine="0"/>
              <w:jc w:val="right"/>
            </w:pPr>
            <w:r>
              <w:t xml:space="preserve">20.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Support for the mobility participant in the organisation of the home trip (optional)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334"/>
        </w:trPr>
        <w:tc>
          <w:tcPr>
            <w:tcW w:w="763" w:type="dxa"/>
            <w:tcBorders>
              <w:top w:val="single" w:sz="4" w:space="0" w:color="000000"/>
              <w:left w:val="single" w:sz="4" w:space="0" w:color="000000"/>
              <w:bottom w:val="single" w:sz="4" w:space="0" w:color="000000"/>
              <w:right w:val="single" w:sz="4" w:space="0" w:color="000000"/>
            </w:tcBorders>
          </w:tcPr>
          <w:p w:rsidR="00DA2A8B" w:rsidRDefault="00555013">
            <w:pPr>
              <w:spacing w:after="0" w:line="259" w:lineRule="auto"/>
              <w:ind w:left="0" w:right="154" w:firstLine="0"/>
              <w:jc w:val="right"/>
            </w:pPr>
            <w:r>
              <w:t xml:space="preserve">21.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Transport to train station/airport (optional)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8"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27"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3" w:right="0" w:firstLine="0"/>
              <w:rPr>
                <w:lang w:val="en-GB"/>
              </w:rPr>
            </w:pPr>
            <w:r w:rsidRPr="008A19A3">
              <w:rPr>
                <w:lang w:val="en-GB"/>
              </w:rPr>
              <w:t xml:space="preserve"> </w:t>
            </w:r>
          </w:p>
        </w:tc>
      </w:tr>
      <w:tr w:rsidR="00DA2A8B" w:rsidRPr="0038155D" w:rsidTr="008A19A3">
        <w:trPr>
          <w:trHeight w:val="899"/>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90" w:right="0" w:firstLine="0"/>
              <w:jc w:val="center"/>
              <w:rPr>
                <w:lang w:val="en-GB"/>
              </w:rPr>
            </w:pPr>
            <w:r w:rsidRPr="008A19A3">
              <w:rPr>
                <w:lang w:val="en-GB"/>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19" w:line="259" w:lineRule="auto"/>
              <w:ind w:left="0" w:right="0" w:firstLine="0"/>
              <w:rPr>
                <w:lang w:val="en-GB"/>
              </w:rPr>
            </w:pPr>
            <w:r w:rsidRPr="008A19A3">
              <w:rPr>
                <w:lang w:val="en-GB"/>
              </w:rPr>
              <w:t xml:space="preserve"> </w:t>
            </w:r>
          </w:p>
          <w:p w:rsidR="00DA2A8B" w:rsidRPr="008A19A3" w:rsidRDefault="00555013">
            <w:pPr>
              <w:spacing w:after="20" w:line="259" w:lineRule="auto"/>
              <w:ind w:left="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900"/>
        </w:trPr>
        <w:tc>
          <w:tcPr>
            <w:tcW w:w="763"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90" w:right="0" w:firstLine="0"/>
              <w:jc w:val="center"/>
              <w:rPr>
                <w:lang w:val="en-GB"/>
              </w:rPr>
            </w:pPr>
            <w:r w:rsidRPr="008A19A3">
              <w:rPr>
                <w:lang w:val="en-GB"/>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19" w:line="259" w:lineRule="auto"/>
              <w:ind w:left="0" w:right="0" w:firstLine="0"/>
              <w:rPr>
                <w:lang w:val="en-GB"/>
              </w:rPr>
            </w:pPr>
            <w:r w:rsidRPr="008A19A3">
              <w:rPr>
                <w:lang w:val="en-GB"/>
              </w:rPr>
              <w:t xml:space="preserve"> </w:t>
            </w:r>
          </w:p>
          <w:p w:rsidR="00DA2A8B" w:rsidRPr="008A19A3" w:rsidRDefault="00555013">
            <w:pPr>
              <w:spacing w:after="20" w:line="259" w:lineRule="auto"/>
              <w:ind w:left="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vAlign w:val="center"/>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899"/>
        </w:trPr>
        <w:tc>
          <w:tcPr>
            <w:tcW w:w="763"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90" w:right="0" w:firstLine="0"/>
              <w:jc w:val="center"/>
              <w:rPr>
                <w:lang w:val="en-GB"/>
              </w:rPr>
            </w:pPr>
            <w:r w:rsidRPr="008A19A3">
              <w:rPr>
                <w:lang w:val="en-GB"/>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19" w:line="259" w:lineRule="auto"/>
              <w:ind w:left="0" w:right="0" w:firstLine="0"/>
              <w:rPr>
                <w:lang w:val="en-GB"/>
              </w:rPr>
            </w:pPr>
            <w:r w:rsidRPr="008A19A3">
              <w:rPr>
                <w:lang w:val="en-GB"/>
              </w:rPr>
              <w:t xml:space="preserve"> </w:t>
            </w:r>
          </w:p>
          <w:p w:rsidR="00DA2A8B" w:rsidRPr="008A19A3" w:rsidRDefault="00555013">
            <w:pPr>
              <w:spacing w:after="20" w:line="259" w:lineRule="auto"/>
              <w:ind w:left="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899"/>
        </w:trPr>
        <w:tc>
          <w:tcPr>
            <w:tcW w:w="763"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90" w:right="0" w:firstLine="0"/>
              <w:jc w:val="center"/>
              <w:rPr>
                <w:lang w:val="en-GB"/>
              </w:rPr>
            </w:pPr>
            <w:r w:rsidRPr="008A19A3">
              <w:rPr>
                <w:lang w:val="en-GB"/>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19" w:line="259" w:lineRule="auto"/>
              <w:ind w:left="0" w:right="0" w:firstLine="0"/>
              <w:rPr>
                <w:lang w:val="en-GB"/>
              </w:rPr>
            </w:pPr>
            <w:r w:rsidRPr="008A19A3">
              <w:rPr>
                <w:lang w:val="en-GB"/>
              </w:rPr>
              <w:t xml:space="preserve"> </w:t>
            </w:r>
          </w:p>
          <w:p w:rsidR="00DA2A8B" w:rsidRPr="008A19A3" w:rsidRDefault="00555013">
            <w:pPr>
              <w:spacing w:after="20" w:line="259" w:lineRule="auto"/>
              <w:ind w:left="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900"/>
        </w:trPr>
        <w:tc>
          <w:tcPr>
            <w:tcW w:w="763"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90" w:right="0" w:firstLine="0"/>
              <w:jc w:val="center"/>
              <w:rPr>
                <w:lang w:val="en-GB"/>
              </w:rPr>
            </w:pPr>
            <w:r w:rsidRPr="008A19A3">
              <w:rPr>
                <w:lang w:val="en-GB"/>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19" w:line="259" w:lineRule="auto"/>
              <w:ind w:left="0" w:right="0" w:firstLine="0"/>
              <w:rPr>
                <w:lang w:val="en-GB"/>
              </w:rPr>
            </w:pPr>
            <w:r w:rsidRPr="008A19A3">
              <w:rPr>
                <w:lang w:val="en-GB"/>
              </w:rPr>
              <w:t xml:space="preserve"> </w:t>
            </w:r>
          </w:p>
          <w:p w:rsidR="00DA2A8B" w:rsidRPr="008A19A3" w:rsidRDefault="00555013">
            <w:pPr>
              <w:spacing w:after="20" w:line="259" w:lineRule="auto"/>
              <w:ind w:left="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899"/>
        </w:trPr>
        <w:tc>
          <w:tcPr>
            <w:tcW w:w="763"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90" w:right="0" w:firstLine="0"/>
              <w:jc w:val="center"/>
              <w:rPr>
                <w:lang w:val="en-GB"/>
              </w:rPr>
            </w:pPr>
            <w:r w:rsidRPr="008A19A3">
              <w:rPr>
                <w:lang w:val="en-GB"/>
              </w:rPr>
              <w:t xml:space="preserve">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19" w:line="259" w:lineRule="auto"/>
              <w:ind w:left="0" w:right="0" w:firstLine="0"/>
              <w:rPr>
                <w:lang w:val="en-GB"/>
              </w:rPr>
            </w:pPr>
            <w:r w:rsidRPr="008A19A3">
              <w:rPr>
                <w:lang w:val="en-GB"/>
              </w:rPr>
              <w:t xml:space="preserve"> </w:t>
            </w:r>
          </w:p>
          <w:p w:rsidR="00DA2A8B" w:rsidRPr="008A19A3" w:rsidRDefault="00555013">
            <w:pPr>
              <w:spacing w:after="20" w:line="259" w:lineRule="auto"/>
              <w:ind w:left="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 </w:t>
            </w:r>
          </w:p>
        </w:tc>
      </w:tr>
      <w:tr w:rsidR="00DA2A8B" w:rsidRPr="0038155D" w:rsidTr="008A19A3">
        <w:trPr>
          <w:trHeight w:val="899"/>
        </w:trPr>
        <w:tc>
          <w:tcPr>
            <w:tcW w:w="763"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90" w:right="0" w:firstLine="0"/>
              <w:jc w:val="center"/>
              <w:rPr>
                <w:lang w:val="en-GB"/>
              </w:rPr>
            </w:pPr>
            <w:r w:rsidRPr="008A19A3">
              <w:rPr>
                <w:lang w:val="en-GB"/>
              </w:rPr>
              <w:lastRenderedPageBreak/>
              <w:t xml:space="preserve"> </w:t>
            </w:r>
          </w:p>
        </w:tc>
        <w:tc>
          <w:tcPr>
            <w:tcW w:w="4699"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19" w:line="259" w:lineRule="auto"/>
              <w:ind w:left="0" w:right="0" w:firstLine="0"/>
              <w:rPr>
                <w:lang w:val="en-GB"/>
              </w:rPr>
            </w:pPr>
            <w:r w:rsidRPr="008A19A3">
              <w:rPr>
                <w:lang w:val="en-GB"/>
              </w:rPr>
              <w:t xml:space="preserve"> </w:t>
            </w:r>
          </w:p>
          <w:p w:rsidR="00DA2A8B" w:rsidRPr="008A19A3" w:rsidRDefault="00555013">
            <w:pPr>
              <w:spacing w:after="20" w:line="259" w:lineRule="auto"/>
              <w:ind w:left="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lang w:val="en-GB"/>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23" w:right="0" w:firstLine="0"/>
              <w:jc w:val="center"/>
              <w:rPr>
                <w:lang w:val="en-GB"/>
              </w:rPr>
            </w:pPr>
            <w:r w:rsidRPr="008A19A3">
              <w:rPr>
                <w:lang w:val="en-GB"/>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32" w:firstLine="0"/>
              <w:jc w:val="center"/>
              <w:rPr>
                <w:lang w:val="en-GB"/>
              </w:rPr>
            </w:pPr>
            <w:r w:rsidRPr="008A19A3">
              <w:rPr>
                <w:lang w:val="en-GB"/>
              </w:rPr>
              <w:t xml:space="preserve"> </w:t>
            </w:r>
          </w:p>
        </w:tc>
        <w:tc>
          <w:tcPr>
            <w:tcW w:w="2368" w:type="dxa"/>
            <w:tcBorders>
              <w:top w:val="single" w:sz="4" w:space="0" w:color="000000"/>
              <w:left w:val="single" w:sz="4" w:space="0" w:color="000000"/>
              <w:bottom w:val="single" w:sz="4" w:space="0" w:color="000000"/>
              <w:right w:val="single" w:sz="4" w:space="0" w:color="000000"/>
            </w:tcBorders>
          </w:tcPr>
          <w:p w:rsidR="00DA2A8B" w:rsidRPr="008A19A3" w:rsidRDefault="00555013">
            <w:pPr>
              <w:spacing w:after="0" w:line="259" w:lineRule="auto"/>
              <w:ind w:left="0" w:right="0" w:firstLine="0"/>
              <w:rPr>
                <w:lang w:val="en-GB"/>
              </w:rPr>
            </w:pPr>
            <w:r w:rsidRPr="008A19A3">
              <w:rPr>
                <w:lang w:val="en-GB"/>
              </w:rPr>
              <w:t xml:space="preserve"> </w:t>
            </w:r>
          </w:p>
        </w:tc>
      </w:tr>
    </w:tbl>
    <w:p w:rsidR="00DA2A8B" w:rsidRPr="008A19A3" w:rsidRDefault="00555013">
      <w:pPr>
        <w:spacing w:after="1319" w:line="259" w:lineRule="auto"/>
        <w:ind w:left="190" w:right="0" w:firstLine="0"/>
        <w:rPr>
          <w:lang w:val="en-GB"/>
        </w:rPr>
      </w:pPr>
      <w:r w:rsidRPr="008A19A3">
        <w:rPr>
          <w:lang w:val="en-GB"/>
        </w:rPr>
        <w:t xml:space="preserve"> </w:t>
      </w:r>
    </w:p>
    <w:p w:rsidR="00DA2A8B" w:rsidRPr="008A19A3" w:rsidRDefault="00555013">
      <w:pPr>
        <w:spacing w:after="0" w:line="259" w:lineRule="auto"/>
        <w:ind w:left="0" w:right="0" w:firstLine="0"/>
        <w:rPr>
          <w:lang w:val="en-GB"/>
        </w:rPr>
      </w:pPr>
      <w:r w:rsidRPr="008A19A3">
        <w:rPr>
          <w:rFonts w:ascii="Times New Roman" w:eastAsia="Times New Roman" w:hAnsi="Times New Roman" w:cs="Times New Roman"/>
          <w:sz w:val="24"/>
          <w:lang w:val="en-GB"/>
        </w:rPr>
        <w:t xml:space="preserve"> </w:t>
      </w:r>
    </w:p>
    <w:sectPr w:rsidR="00DA2A8B" w:rsidRPr="008A19A3" w:rsidSect="008A19A3">
      <w:headerReference w:type="default" r:id="rId8"/>
      <w:footerReference w:type="default" r:id="rId9"/>
      <w:pgSz w:w="11900" w:h="16840"/>
      <w:pgMar w:top="520" w:right="860" w:bottom="1560" w:left="85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9A3" w:rsidRDefault="008A19A3" w:rsidP="008A19A3">
      <w:pPr>
        <w:spacing w:after="0" w:line="240" w:lineRule="auto"/>
      </w:pPr>
      <w:r>
        <w:separator/>
      </w:r>
    </w:p>
  </w:endnote>
  <w:endnote w:type="continuationSeparator" w:id="0">
    <w:p w:rsidR="008A19A3" w:rsidRDefault="008A19A3" w:rsidP="008A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A3" w:rsidRDefault="008A19A3">
    <w:pPr>
      <w:pStyle w:val="Pidipagina"/>
    </w:pPr>
    <w:r>
      <w:rPr>
        <w:noProof/>
      </w:rPr>
      <w:drawing>
        <wp:anchor distT="0" distB="0" distL="114300" distR="114300" simplePos="0" relativeHeight="251661312" behindDoc="0" locked="0" layoutInCell="1" allowOverlap="1" wp14:anchorId="16C8F85F" wp14:editId="36ED0C7C">
          <wp:simplePos x="0" y="0"/>
          <wp:positionH relativeFrom="margin">
            <wp:align>left</wp:align>
          </wp:positionH>
          <wp:positionV relativeFrom="paragraph">
            <wp:posOffset>-162560</wp:posOffset>
          </wp:positionV>
          <wp:extent cx="3686175" cy="561975"/>
          <wp:effectExtent l="0" t="0" r="9525" b="9525"/>
          <wp:wrapSquare wrapText="bothSides"/>
          <wp:docPr id="7"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6175" cy="561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9A3" w:rsidRDefault="008A19A3" w:rsidP="008A19A3">
      <w:pPr>
        <w:spacing w:after="0" w:line="240" w:lineRule="auto"/>
      </w:pPr>
      <w:r>
        <w:separator/>
      </w:r>
    </w:p>
  </w:footnote>
  <w:footnote w:type="continuationSeparator" w:id="0">
    <w:p w:rsidR="008A19A3" w:rsidRDefault="008A19A3" w:rsidP="008A1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9A3" w:rsidRDefault="008A19A3" w:rsidP="008A19A3">
    <w:pPr>
      <w:pStyle w:val="Intestazione"/>
      <w:tabs>
        <w:tab w:val="clear" w:pos="4819"/>
        <w:tab w:val="clear" w:pos="9638"/>
        <w:tab w:val="left" w:pos="8055"/>
      </w:tabs>
      <w:ind w:left="-142" w:firstLine="12"/>
    </w:pPr>
    <w:r>
      <w:rPr>
        <w:noProof/>
      </w:rPr>
      <w:drawing>
        <wp:anchor distT="0" distB="0" distL="114300" distR="114300" simplePos="0" relativeHeight="251659264" behindDoc="0" locked="0" layoutInCell="1" allowOverlap="1" wp14:anchorId="3E8878BC" wp14:editId="148C8B1B">
          <wp:simplePos x="0" y="0"/>
          <wp:positionH relativeFrom="column">
            <wp:posOffset>5124450</wp:posOffset>
          </wp:positionH>
          <wp:positionV relativeFrom="paragraph">
            <wp:posOffset>57150</wp:posOffset>
          </wp:positionV>
          <wp:extent cx="1422171" cy="533400"/>
          <wp:effectExtent l="0" t="0" r="6985" b="0"/>
          <wp:wrapNone/>
          <wp:docPr id="18" name="Picture 3" descr="P:\Progetti_Europei\02_EU_Projects\04_Erasmus+\WBL_ES\11.Web site &amp; Portal\Upload_1\5.1 Contractual Partners\JPG\04_Confartigia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ogetti_Europei\02_EU_Projects\04_Erasmus+\WBL_ES\11.Web site &amp; Portal\Upload_1\5.1 Contractual Partners\JPG\04_Confartigiana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2171"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06F8353" wp14:editId="610DEC9B">
          <wp:extent cx="1411357" cy="722771"/>
          <wp:effectExtent l="0" t="0" r="0" b="1270"/>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16142" cy="725221"/>
                  </a:xfrm>
                  <a:prstGeom prst="rect">
                    <a:avLst/>
                  </a:prstGeom>
                </pic:spPr>
              </pic:pic>
            </a:graphicData>
          </a:graphic>
        </wp:inline>
      </w:drawing>
    </w:r>
    <w:r>
      <w:tab/>
    </w:r>
  </w:p>
  <w:p w:rsidR="008A19A3" w:rsidRDefault="008A19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81C64"/>
    <w:multiLevelType w:val="hybridMultilevel"/>
    <w:tmpl w:val="A69898D8"/>
    <w:lvl w:ilvl="0" w:tplc="04100005">
      <w:start w:val="1"/>
      <w:numFmt w:val="bullet"/>
      <w:lvlText w:val=""/>
      <w:lvlJc w:val="left"/>
      <w:pPr>
        <w:ind w:left="553"/>
      </w:pPr>
      <w:rPr>
        <w:rFonts w:ascii="Wingdings" w:hAnsi="Wingdings" w:hint="default"/>
        <w:b w:val="0"/>
        <w:i w:val="0"/>
        <w:strike w:val="0"/>
        <w:dstrike w:val="0"/>
        <w:color w:val="FF6400"/>
        <w:sz w:val="20"/>
        <w:szCs w:val="20"/>
        <w:u w:val="none" w:color="000000"/>
        <w:bdr w:val="none" w:sz="0" w:space="0" w:color="auto"/>
        <w:shd w:val="clear" w:color="auto" w:fill="auto"/>
        <w:vertAlign w:val="baseline"/>
      </w:rPr>
    </w:lvl>
    <w:lvl w:ilvl="1" w:tplc="C5DE8338">
      <w:start w:val="1"/>
      <w:numFmt w:val="bullet"/>
      <w:lvlText w:val="o"/>
      <w:lvlJc w:val="left"/>
      <w:pPr>
        <w:ind w:left="128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lvl w:ilvl="2" w:tplc="98462566">
      <w:start w:val="1"/>
      <w:numFmt w:val="bullet"/>
      <w:lvlText w:val="▪"/>
      <w:lvlJc w:val="left"/>
      <w:pPr>
        <w:ind w:left="200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lvl w:ilvl="3" w:tplc="0428E91C">
      <w:start w:val="1"/>
      <w:numFmt w:val="bullet"/>
      <w:lvlText w:val="•"/>
      <w:lvlJc w:val="left"/>
      <w:pPr>
        <w:ind w:left="272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lvl w:ilvl="4" w:tplc="9C4C7620">
      <w:start w:val="1"/>
      <w:numFmt w:val="bullet"/>
      <w:lvlText w:val="o"/>
      <w:lvlJc w:val="left"/>
      <w:pPr>
        <w:ind w:left="344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lvl w:ilvl="5" w:tplc="1E6EBB4C">
      <w:start w:val="1"/>
      <w:numFmt w:val="bullet"/>
      <w:lvlText w:val="▪"/>
      <w:lvlJc w:val="left"/>
      <w:pPr>
        <w:ind w:left="416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lvl w:ilvl="6" w:tplc="CA70A57A">
      <w:start w:val="1"/>
      <w:numFmt w:val="bullet"/>
      <w:lvlText w:val="•"/>
      <w:lvlJc w:val="left"/>
      <w:pPr>
        <w:ind w:left="488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lvl w:ilvl="7" w:tplc="B4022980">
      <w:start w:val="1"/>
      <w:numFmt w:val="bullet"/>
      <w:lvlText w:val="o"/>
      <w:lvlJc w:val="left"/>
      <w:pPr>
        <w:ind w:left="560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lvl w:ilvl="8" w:tplc="9468CC2E">
      <w:start w:val="1"/>
      <w:numFmt w:val="bullet"/>
      <w:lvlText w:val="▪"/>
      <w:lvlJc w:val="left"/>
      <w:pPr>
        <w:ind w:left="6328"/>
      </w:pPr>
      <w:rPr>
        <w:rFonts w:ascii="Wingdings 3" w:eastAsia="Wingdings 3" w:hAnsi="Wingdings 3" w:cs="Wingdings 3"/>
        <w:b w:val="0"/>
        <w:i w:val="0"/>
        <w:strike w:val="0"/>
        <w:dstrike w:val="0"/>
        <w:color w:val="FF64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8B"/>
    <w:rsid w:val="0038155D"/>
    <w:rsid w:val="00555013"/>
    <w:rsid w:val="008A19A3"/>
    <w:rsid w:val="00DA2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30C96"/>
  <w15:docId w15:val="{DF229E7F-560C-4443-94EF-C7821C23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 w:line="239" w:lineRule="auto"/>
      <w:ind w:left="560" w:right="112" w:hanging="370"/>
    </w:pPr>
    <w:rPr>
      <w:rFonts w:ascii="Verdana" w:eastAsia="Verdana" w:hAnsi="Verdana" w:cs="Verdana"/>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A1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A19A3"/>
    <w:rPr>
      <w:rFonts w:ascii="Verdana" w:eastAsia="Verdana" w:hAnsi="Verdana" w:cs="Verdana"/>
      <w:color w:val="000000"/>
      <w:sz w:val="20"/>
    </w:rPr>
  </w:style>
  <w:style w:type="paragraph" w:styleId="Pidipagina">
    <w:name w:val="footer"/>
    <w:basedOn w:val="Normale"/>
    <w:link w:val="PidipaginaCarattere"/>
    <w:uiPriority w:val="99"/>
    <w:unhideWhenUsed/>
    <w:rsid w:val="008A1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A19A3"/>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apprenticeship.eu/en/ho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492</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Is it possible to go abroad during the education and training period from a legal perspective</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possible to go abroad during the education and training period from a legal perspective</dc:title>
  <dc:subject/>
  <dc:creator>Microsoft Office</dc:creator>
  <cp:keywords/>
  <cp:lastModifiedBy>Raspini Roberto</cp:lastModifiedBy>
  <cp:revision>4</cp:revision>
  <dcterms:created xsi:type="dcterms:W3CDTF">2018-07-03T10:13:00Z</dcterms:created>
  <dcterms:modified xsi:type="dcterms:W3CDTF">2018-07-12T06:58:00Z</dcterms:modified>
</cp:coreProperties>
</file>